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60DEF60C" w:rsidR="00CD4C7B" w:rsidRPr="00B266B0" w:rsidRDefault="003A41EF" w:rsidP="00CD4C7B">
      <w:pPr>
        <w:pStyle w:val="Header"/>
        <w:tabs>
          <w:tab w:val="right" w:pos="9639"/>
        </w:tabs>
        <w:rPr>
          <w:bCs/>
          <w:i/>
          <w:noProof w:val="0"/>
          <w:sz w:val="24"/>
          <w:szCs w:val="24"/>
        </w:rPr>
      </w:pPr>
      <w:r w:rsidRPr="003A41EF">
        <w:rPr>
          <w:bCs/>
          <w:noProof w:val="0"/>
          <w:sz w:val="24"/>
          <w:szCs w:val="24"/>
        </w:rPr>
        <w:t xml:space="preserve">3GPP TSG-RAN WG2 Meeting </w:t>
      </w:r>
      <w:r w:rsidR="00F941DF">
        <w:rPr>
          <w:bCs/>
          <w:noProof w:val="0"/>
          <w:sz w:val="24"/>
          <w:szCs w:val="24"/>
        </w:rPr>
        <w:t>#</w:t>
      </w:r>
      <w:r w:rsidR="007C2DD0">
        <w:rPr>
          <w:bCs/>
          <w:noProof w:val="0"/>
          <w:sz w:val="24"/>
          <w:szCs w:val="24"/>
        </w:rPr>
        <w:t>103</w:t>
      </w:r>
      <w:r w:rsidR="00CD4C7B" w:rsidRPr="00B266B0">
        <w:rPr>
          <w:bCs/>
          <w:noProof w:val="0"/>
          <w:sz w:val="24"/>
          <w:szCs w:val="24"/>
        </w:rPr>
        <w:tab/>
      </w:r>
      <w:r w:rsidR="00011B11" w:rsidRPr="00011B11">
        <w:rPr>
          <w:bCs/>
          <w:noProof w:val="0"/>
          <w:sz w:val="24"/>
          <w:szCs w:val="24"/>
        </w:rPr>
        <w:t xml:space="preserve">R2-1812037        </w:t>
      </w:r>
    </w:p>
    <w:p w14:paraId="231362B2" w14:textId="2111D6CC" w:rsidR="00CD4C7B" w:rsidRPr="00B266B0" w:rsidRDefault="007C2DD0" w:rsidP="00CD4C7B">
      <w:pPr>
        <w:pStyle w:val="Header"/>
        <w:tabs>
          <w:tab w:val="right" w:pos="9639"/>
        </w:tabs>
        <w:rPr>
          <w:bCs/>
          <w:noProof w:val="0"/>
          <w:sz w:val="24"/>
          <w:szCs w:val="24"/>
        </w:rPr>
      </w:pPr>
      <w:r>
        <w:rPr>
          <w:rFonts w:eastAsia="SimSun"/>
          <w:noProof w:val="0"/>
          <w:sz w:val="24"/>
          <w:szCs w:val="24"/>
          <w:lang w:eastAsia="zh-CN"/>
        </w:rPr>
        <w:t>Gothenburg</w:t>
      </w:r>
      <w:r w:rsidR="002610D8">
        <w:rPr>
          <w:rFonts w:eastAsia="SimSun"/>
          <w:noProof w:val="0"/>
          <w:sz w:val="24"/>
          <w:szCs w:val="24"/>
          <w:lang w:eastAsia="zh-CN"/>
        </w:rPr>
        <w:t xml:space="preserve">, </w:t>
      </w:r>
      <w:r>
        <w:rPr>
          <w:rFonts w:eastAsia="SimSun"/>
          <w:noProof w:val="0"/>
          <w:sz w:val="24"/>
          <w:szCs w:val="24"/>
          <w:lang w:eastAsia="zh-CN"/>
        </w:rPr>
        <w:t>Sweden</w:t>
      </w:r>
      <w:r w:rsidR="002610D8">
        <w:rPr>
          <w:rFonts w:eastAsia="SimSun"/>
          <w:noProof w:val="0"/>
          <w:sz w:val="24"/>
          <w:szCs w:val="24"/>
          <w:lang w:eastAsia="zh-CN"/>
        </w:rPr>
        <w:t xml:space="preserve">, </w:t>
      </w:r>
      <w:r>
        <w:rPr>
          <w:rFonts w:eastAsia="SimSun"/>
          <w:noProof w:val="0"/>
          <w:sz w:val="24"/>
          <w:szCs w:val="24"/>
          <w:lang w:eastAsia="zh-CN"/>
        </w:rPr>
        <w:t>20 - 24 August</w:t>
      </w:r>
      <w:r w:rsidR="002610D8" w:rsidRPr="002610D8">
        <w:rPr>
          <w:rFonts w:eastAsia="SimSun"/>
          <w:noProof w:val="0"/>
          <w:sz w:val="24"/>
          <w:szCs w:val="24"/>
          <w:lang w:eastAsia="zh-CN"/>
        </w:rPr>
        <w:t xml:space="preserve"> 2018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05BB736A"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25C81">
        <w:rPr>
          <w:rFonts w:cs="Arial"/>
          <w:b/>
          <w:bCs/>
          <w:sz w:val="24"/>
          <w:lang w:eastAsia="ja-JP"/>
        </w:rPr>
        <w:t>10.5.4</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2A432E51"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E32F2">
        <w:rPr>
          <w:rFonts w:ascii="Arial" w:hAnsi="Arial" w:cs="Arial"/>
          <w:b/>
          <w:bCs/>
          <w:sz w:val="24"/>
        </w:rPr>
        <w:t>NR-NR DC architectural principles</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5FC03D50" w:rsidR="00CD4C7B" w:rsidRPr="006E13D1" w:rsidRDefault="00FE32F2" w:rsidP="00CD4C7B">
      <w:r>
        <w:t>In this contribution a discussion of the NR-NR DC proposed architectural principles is discussed.</w:t>
      </w:r>
    </w:p>
    <w:p w14:paraId="127ACA6D" w14:textId="09B6E22E" w:rsidR="00CD4C7B" w:rsidRPr="006E13D1" w:rsidRDefault="00CD4C7B" w:rsidP="00CD4C7B">
      <w:pPr>
        <w:pStyle w:val="Heading1"/>
      </w:pPr>
      <w:r w:rsidRPr="006E13D1">
        <w:t>2</w:t>
      </w:r>
      <w:r w:rsidRPr="006E13D1">
        <w:tab/>
      </w:r>
      <w:r w:rsidR="00FF3E28">
        <w:t>Background</w:t>
      </w:r>
    </w:p>
    <w:p w14:paraId="3884F67D" w14:textId="44511B45" w:rsidR="00CD4C7B" w:rsidRDefault="00FF3E28" w:rsidP="001B49C9">
      <w:r w:rsidRPr="00F34FF9">
        <w:t xml:space="preserve">In LTE-DC, when a UE is configured with DC, the MeNB maintains the RRC connection and the control plane connection towards the Mobility Management Entity (MME) is always terminated in the MeNB. </w:t>
      </w:r>
      <w:r>
        <w:t>Firstly, t</w:t>
      </w:r>
      <w:r w:rsidRPr="00F34FF9">
        <w:t xml:space="preserve">he MeNB </w:t>
      </w:r>
      <w:r>
        <w:t>totally controls the DC configuration; i.e. i</w:t>
      </w:r>
      <w:r w:rsidRPr="00F34FF9">
        <w:t>t</w:t>
      </w:r>
      <w:r>
        <w:t xml:space="preserve"> is fully responsible for the mobility management within the SeNB (i.e. addition and removal of secondary cells, change of the primary SCell, change of the SeNB etc.)</w:t>
      </w:r>
      <w:r w:rsidRPr="00F34FF9">
        <w:t xml:space="preserve"> </w:t>
      </w:r>
      <w:r>
        <w:t xml:space="preserve">and </w:t>
      </w:r>
      <w:r w:rsidRPr="00F34FF9">
        <w:t xml:space="preserve">generates and sends all </w:t>
      </w:r>
      <w:r>
        <w:t>the RRC messages to the UE. From a network and UE point of view, the SeNB cannot be addressed by the UE RRC and vice-versa. Secondly, the agreed model for splitting the UE capability between the MeNB and SeNB is based on the originating node transferring the total UE capability and its own configuration to the destination node. This principle hampered m</w:t>
      </w:r>
      <w:r w:rsidRPr="00B125FC">
        <w:t>ulti-vendor network interoperability</w:t>
      </w:r>
      <w:r>
        <w:t xml:space="preserve"> because each node is required to comprehend the RRC configuration of the other node.</w:t>
      </w:r>
      <w:r w:rsidRPr="00B125FC">
        <w:t xml:space="preserve"> </w:t>
      </w:r>
      <w:r>
        <w:t xml:space="preserve">In MR-DC, the MN and SN use completely different RRC specifications and expecting either node to comprehend the other nodes’ RRC was considered impractical. </w:t>
      </w:r>
      <w:r w:rsidR="00526741">
        <w:t>One of the main reasons to</w:t>
      </w:r>
      <w:r>
        <w:t xml:space="preserve"> deviate from the LTE-DC design principles was to allow the MN and SN to function as independently as possible</w:t>
      </w:r>
      <w:r w:rsidR="006A1636">
        <w:t xml:space="preserve">. </w:t>
      </w:r>
      <w:r>
        <w:t xml:space="preserve">The single overarching architectural principle guiding the standardization activity for MR-DC </w:t>
      </w:r>
      <w:r w:rsidR="006A1636">
        <w:t>was</w:t>
      </w:r>
      <w:r>
        <w:t xml:space="preserve"> the following: “</w:t>
      </w:r>
      <w:r w:rsidRPr="00A85A56">
        <w:rPr>
          <w:i/>
        </w:rPr>
        <w:t>The MN and SN should be capable of operating as independently as possible</w:t>
      </w:r>
      <w:r w:rsidRPr="003F1772">
        <w:t>”</w:t>
      </w:r>
      <w:r>
        <w:t xml:space="preserve">. </w:t>
      </w:r>
      <w:r w:rsidR="006A1636">
        <w:t xml:space="preserve">This was realized by </w:t>
      </w:r>
      <w:r>
        <w:t>support</w:t>
      </w:r>
      <w:r w:rsidR="006A1636">
        <w:t>ing</w:t>
      </w:r>
      <w:r>
        <w:t xml:space="preserve"> a dual RRC signalling architecture.</w:t>
      </w:r>
      <w:r w:rsidR="006A1636">
        <w:t xml:space="preserve"> </w:t>
      </w:r>
      <w:r>
        <w:t xml:space="preserve">The dual RRC control plane reference architecture model is shown in Figure </w:t>
      </w:r>
      <w:r w:rsidR="006A1636">
        <w:t>1</w:t>
      </w:r>
      <w:r>
        <w:t xml:space="preserve"> below</w:t>
      </w:r>
      <w:r w:rsidR="006A1636">
        <w:t xml:space="preserve"> for EN-DC:</w:t>
      </w:r>
    </w:p>
    <w:p w14:paraId="769011CF" w14:textId="77777777" w:rsidR="00C81415" w:rsidRDefault="00C81415" w:rsidP="001B49C9"/>
    <w:p w14:paraId="5041D98E" w14:textId="7F781AAF" w:rsidR="006A1636" w:rsidRDefault="006A1636" w:rsidP="006A1636">
      <w:pPr>
        <w:jc w:val="center"/>
      </w:pPr>
      <w:r>
        <w:object w:dxaOrig="5564" w:dyaOrig="6795" w14:anchorId="0138E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4pt;height:252pt" o:ole="">
            <v:imagedata r:id="rId12" o:title=""/>
          </v:shape>
          <o:OLEObject Type="Embed" ProgID="Visio.Drawing.11" ShapeID="_x0000_i1025" DrawAspect="Content" ObjectID="_1595334836" r:id="rId13"/>
        </w:object>
      </w:r>
    </w:p>
    <w:p w14:paraId="024D765C" w14:textId="67E0474C" w:rsidR="006A1636" w:rsidRPr="006A1636" w:rsidRDefault="006A1636" w:rsidP="006A1636">
      <w:pPr>
        <w:jc w:val="center"/>
        <w:rPr>
          <w:b/>
        </w:rPr>
      </w:pPr>
      <w:r>
        <w:rPr>
          <w:b/>
        </w:rPr>
        <w:lastRenderedPageBreak/>
        <w:t>Figure 1: EN</w:t>
      </w:r>
      <w:r w:rsidRPr="006A1636">
        <w:rPr>
          <w:b/>
        </w:rPr>
        <w:t>-DC RRC signalling architecture</w:t>
      </w:r>
    </w:p>
    <w:p w14:paraId="5FF0E443" w14:textId="3C8F70E6" w:rsidR="00CD4C7B" w:rsidRPr="006E13D1" w:rsidRDefault="00CD4C7B" w:rsidP="00CD4C7B">
      <w:pPr>
        <w:pStyle w:val="Heading1"/>
      </w:pPr>
      <w:r w:rsidRPr="006E13D1">
        <w:t>3</w:t>
      </w:r>
      <w:r w:rsidRPr="006E13D1">
        <w:tab/>
      </w:r>
      <w:r w:rsidR="00D9482A">
        <w:t xml:space="preserve">Architectural Options for </w:t>
      </w:r>
      <w:r w:rsidR="006A1636">
        <w:t>NR-NR DC</w:t>
      </w:r>
    </w:p>
    <w:p w14:paraId="3771C9CA" w14:textId="51D1943E" w:rsidR="00CD4C7B" w:rsidRPr="006E13D1" w:rsidRDefault="00CD4C7B" w:rsidP="00CD4C7B">
      <w:pPr>
        <w:pStyle w:val="Heading2"/>
      </w:pPr>
      <w:r w:rsidRPr="006E13D1">
        <w:t>3.1</w:t>
      </w:r>
      <w:r w:rsidRPr="006E13D1">
        <w:tab/>
      </w:r>
      <w:r w:rsidR="00D9482A">
        <w:t>Architectural o</w:t>
      </w:r>
      <w:r w:rsidR="00660B2F">
        <w:t xml:space="preserve">ption 1: </w:t>
      </w:r>
      <w:r w:rsidR="00660B2F" w:rsidRPr="00660B2F">
        <w:t>NR-NR DC using Xn interface</w:t>
      </w:r>
    </w:p>
    <w:p w14:paraId="7737F7D7" w14:textId="3D42942A" w:rsidR="006A1636" w:rsidRDefault="00672B57" w:rsidP="00672B57">
      <w:pPr>
        <w:pStyle w:val="B1"/>
        <w:ind w:left="0" w:firstLine="0"/>
        <w:jc w:val="center"/>
      </w:pPr>
      <w:r>
        <w:rPr>
          <w:noProof/>
        </w:rPr>
        <w:drawing>
          <wp:inline distT="0" distB="0" distL="0" distR="0" wp14:anchorId="6092F996" wp14:editId="0102A180">
            <wp:extent cx="2792470" cy="3505396"/>
            <wp:effectExtent l="0" t="0" r="8255" b="0"/>
            <wp:docPr id="2008341992"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4">
                      <a:extLst>
                        <a:ext uri="{28A0092B-C50C-407E-A947-70E740481C1C}">
                          <a14:useLocalDpi xmlns:a14="http://schemas.microsoft.com/office/drawing/2010/main" val="0"/>
                        </a:ext>
                      </a:extLst>
                    </a:blip>
                    <a:stretch>
                      <a:fillRect/>
                    </a:stretch>
                  </pic:blipFill>
                  <pic:spPr>
                    <a:xfrm>
                      <a:off x="0" y="0"/>
                      <a:ext cx="2792470" cy="3505396"/>
                    </a:xfrm>
                    <a:prstGeom prst="rect">
                      <a:avLst/>
                    </a:prstGeom>
                  </pic:spPr>
                </pic:pic>
              </a:graphicData>
            </a:graphic>
          </wp:inline>
        </w:drawing>
      </w:r>
    </w:p>
    <w:p w14:paraId="3E3AD671" w14:textId="46AA109D" w:rsidR="00672B57" w:rsidRPr="00E00A12" w:rsidRDefault="00D9482A" w:rsidP="00672B57">
      <w:pPr>
        <w:pStyle w:val="B1"/>
        <w:ind w:left="0" w:firstLine="0"/>
        <w:jc w:val="center"/>
        <w:rPr>
          <w:b/>
        </w:rPr>
      </w:pPr>
      <w:r>
        <w:rPr>
          <w:b/>
        </w:rPr>
        <w:t>Figure 3.1-1</w:t>
      </w:r>
      <w:r w:rsidR="00672B57" w:rsidRPr="00E00A12">
        <w:rPr>
          <w:b/>
        </w:rPr>
        <w:t xml:space="preserve">: </w:t>
      </w:r>
      <w:r w:rsidR="00E00A12">
        <w:rPr>
          <w:b/>
        </w:rPr>
        <w:t>NR-NR DC using Xn interface (i.e. ideal or non-ideal backhaul)</w:t>
      </w:r>
      <w:r w:rsidR="00346402">
        <w:rPr>
          <w:b/>
        </w:rPr>
        <w:t>.</w:t>
      </w:r>
    </w:p>
    <w:p w14:paraId="1674886C" w14:textId="6C9341FD" w:rsidR="00660B2F" w:rsidRDefault="00C81415" w:rsidP="00C81415">
      <w:pPr>
        <w:pStyle w:val="B1"/>
        <w:ind w:left="0" w:firstLine="0"/>
      </w:pPr>
      <w:r>
        <w:t xml:space="preserve">In Figure </w:t>
      </w:r>
      <w:r w:rsidR="00FE32F2" w:rsidRPr="00FE32F2">
        <w:t>3.1-1</w:t>
      </w:r>
      <w:r>
        <w:t xml:space="preserve">, </w:t>
      </w:r>
      <w:r w:rsidR="009F6FED">
        <w:t xml:space="preserve">the EN-DC CP architecture scheme is </w:t>
      </w:r>
      <w:r w:rsidR="00660B2F">
        <w:t xml:space="preserve">proposed to be </w:t>
      </w:r>
      <w:r w:rsidR="009F6FED">
        <w:t xml:space="preserve">reused with the MN and SN roles taken by the MgNB and SgNB respectively both based on the NR RRC specification. These two nodes are connected using the Xn interface and the guiding principle is the same, “MN and SN must be able to operate as independently as possible”. </w:t>
      </w:r>
      <w:r w:rsidR="00660B2F">
        <w:t>The following aspects need to be discussed further</w:t>
      </w:r>
      <w:r w:rsidR="009F6FED">
        <w:t>:</w:t>
      </w:r>
    </w:p>
    <w:p w14:paraId="1876AF2A" w14:textId="08CD9CE9" w:rsidR="00FE32F2" w:rsidRDefault="00FE32F2" w:rsidP="00660B2F">
      <w:pPr>
        <w:pStyle w:val="B1"/>
        <w:numPr>
          <w:ilvl w:val="0"/>
          <w:numId w:val="5"/>
        </w:numPr>
        <w:rPr>
          <w:b/>
        </w:rPr>
      </w:pPr>
      <w:r w:rsidRPr="00FE32F2">
        <w:rPr>
          <w:b/>
        </w:rPr>
        <w:t>SRB3</w:t>
      </w:r>
    </w:p>
    <w:p w14:paraId="53095249" w14:textId="3C4E829F" w:rsidR="00FE32F2" w:rsidRPr="00FE32F2" w:rsidRDefault="00FE32F2" w:rsidP="00FE32F2">
      <w:pPr>
        <w:pStyle w:val="B1"/>
        <w:numPr>
          <w:ilvl w:val="1"/>
          <w:numId w:val="5"/>
        </w:numPr>
        <w:rPr>
          <w:b/>
        </w:rPr>
      </w:pPr>
      <w:r>
        <w:t>One of the most important enhancement on the LTE DC control plane for MR-DC is the introduction of a direct signalling radio bearer (SRB) between the SN node and the UE; commonly referred to as the Secondary Cell Group (SCG) SRB. The main motivation to introduce SRB3 was to take advantage of the low latency of the SN radio leg (when the SN is NR) and allow the SN node to perform dynamic radio resource management in the form of radio reconfigurations, controlling the UE measurement setup and reporting behaviour. Radio (re)configurations allow the SN to alter the L1 and L2 parameters at the UE, for example to add or remove frequency carriers, update the discontinuous reception cycle, perform handovers within the SN etc. The measurement control interface allows the SN to control the setup and termination of radio measurements which allow the UE to continuously report mobile evaluated events to the network for maintaining the radio connection.</w:t>
      </w:r>
    </w:p>
    <w:p w14:paraId="7C4F0B1E" w14:textId="78E0ACD1" w:rsidR="00FE32F2" w:rsidRPr="00660B2F" w:rsidRDefault="00FE32F2" w:rsidP="00FE32F2">
      <w:pPr>
        <w:pStyle w:val="B1"/>
        <w:rPr>
          <w:b/>
        </w:rPr>
      </w:pPr>
      <w:r>
        <w:rPr>
          <w:b/>
        </w:rPr>
        <w:t>Proposal 1</w:t>
      </w:r>
      <w:r w:rsidRPr="00660B2F">
        <w:rPr>
          <w:b/>
        </w:rPr>
        <w:t xml:space="preserve">: </w:t>
      </w:r>
      <w:r>
        <w:rPr>
          <w:b/>
        </w:rPr>
        <w:t>Allow SN to be able to configure the SRB3 in NR-NR DC.</w:t>
      </w:r>
    </w:p>
    <w:p w14:paraId="2C1DA13C" w14:textId="52FB9457" w:rsidR="00660B2F" w:rsidRPr="00660B2F" w:rsidRDefault="00660B2F" w:rsidP="00660B2F">
      <w:pPr>
        <w:pStyle w:val="B1"/>
        <w:numPr>
          <w:ilvl w:val="0"/>
          <w:numId w:val="5"/>
        </w:numPr>
      </w:pPr>
      <w:r>
        <w:rPr>
          <w:b/>
        </w:rPr>
        <w:t>Measurement control and reporting architecture</w:t>
      </w:r>
    </w:p>
    <w:p w14:paraId="4433B04F" w14:textId="66E9F33A" w:rsidR="00660B2F" w:rsidRDefault="00660B2F" w:rsidP="00660B2F">
      <w:pPr>
        <w:pStyle w:val="B1"/>
        <w:numPr>
          <w:ilvl w:val="1"/>
          <w:numId w:val="5"/>
        </w:numPr>
      </w:pPr>
      <w:r>
        <w:t xml:space="preserve">In MR-DC, the SN performs mobility management of the radio access autonomously (e.g. NR in EN-DC) i.e. it </w:t>
      </w:r>
      <w:r w:rsidR="00011B11">
        <w:t xml:space="preserve">is not required of </w:t>
      </w:r>
      <w:r>
        <w:t xml:space="preserve">the MN </w:t>
      </w:r>
      <w:r w:rsidR="00011B11">
        <w:t xml:space="preserve">to </w:t>
      </w:r>
      <w:r>
        <w:t xml:space="preserve">setup </w:t>
      </w:r>
      <w:r w:rsidR="00011B11">
        <w:t xml:space="preserve">the </w:t>
      </w:r>
      <w:r>
        <w:t xml:space="preserve">measurements </w:t>
      </w:r>
      <w:r w:rsidR="00011B11">
        <w:t xml:space="preserve">or terminate </w:t>
      </w:r>
      <w:r>
        <w:t xml:space="preserve">measurement reports from the UE. Because of this decision, the MN neither is required to parse the measurement report nor decide upon the addition or removal of cells in the SN (and this includes nominating the PSCell) of another RAT. In fact, it is the SN that initiates the change of SN procedure, in contrast to LTE DC </w:t>
      </w:r>
      <w:r>
        <w:lastRenderedPageBreak/>
        <w:t>where the full responsibility was vested in the MeNB. In MR-DC the MN is also able to trigger the SN node change, for example due to load balancing triggers.</w:t>
      </w:r>
    </w:p>
    <w:p w14:paraId="17884FEA" w14:textId="53E6341B" w:rsidR="00660B2F" w:rsidRDefault="00660B2F" w:rsidP="00660B2F">
      <w:pPr>
        <w:pStyle w:val="B1"/>
        <w:numPr>
          <w:ilvl w:val="1"/>
          <w:numId w:val="5"/>
        </w:numPr>
      </w:pPr>
      <w:r>
        <w:t>It seems logical to retain the same principle for NR-NR DC</w:t>
      </w:r>
    </w:p>
    <w:p w14:paraId="564F2AE0" w14:textId="73887A8A" w:rsidR="00660B2F" w:rsidRPr="00660B2F" w:rsidRDefault="00660B2F" w:rsidP="00660B2F">
      <w:pPr>
        <w:pStyle w:val="B1"/>
        <w:rPr>
          <w:b/>
        </w:rPr>
      </w:pPr>
      <w:r w:rsidRPr="00660B2F">
        <w:rPr>
          <w:b/>
        </w:rPr>
        <w:t xml:space="preserve">Proposal </w:t>
      </w:r>
      <w:r w:rsidR="00FE32F2">
        <w:rPr>
          <w:b/>
        </w:rPr>
        <w:t>2</w:t>
      </w:r>
      <w:r w:rsidRPr="00660B2F">
        <w:rPr>
          <w:b/>
        </w:rPr>
        <w:t xml:space="preserve">: </w:t>
      </w:r>
      <w:r>
        <w:rPr>
          <w:b/>
        </w:rPr>
        <w:t>Allow SN centric mobility management in NR-NR DC e.g. SN initiated SN change</w:t>
      </w:r>
      <w:r w:rsidR="009777C9">
        <w:rPr>
          <w:b/>
        </w:rPr>
        <w:t xml:space="preserve">, SN initiated PSCell change etc. </w:t>
      </w:r>
    </w:p>
    <w:p w14:paraId="5BD42324" w14:textId="0084C62D" w:rsidR="00660B2F" w:rsidRDefault="00660B2F" w:rsidP="00660B2F">
      <w:pPr>
        <w:pStyle w:val="B1"/>
        <w:numPr>
          <w:ilvl w:val="0"/>
          <w:numId w:val="5"/>
        </w:numPr>
        <w:rPr>
          <w:b/>
        </w:rPr>
      </w:pPr>
      <w:r>
        <w:rPr>
          <w:b/>
        </w:rPr>
        <w:t>UE capability signalling architecture</w:t>
      </w:r>
    </w:p>
    <w:p w14:paraId="00B36FCA" w14:textId="1BABD32C" w:rsidR="00D9482A" w:rsidRPr="00D9482A" w:rsidRDefault="00D9482A" w:rsidP="00D9482A">
      <w:pPr>
        <w:pStyle w:val="B1"/>
        <w:numPr>
          <w:ilvl w:val="1"/>
          <w:numId w:val="5"/>
        </w:numPr>
        <w:rPr>
          <w:b/>
        </w:rPr>
      </w:pPr>
      <w:r>
        <w:t>A network needs to know the ability of a given UE in terms of various features it supports. The UE signals capability parameters (radio frequency, baseband, protocol layer, etc.) which are interpreted by the network and translated into a UE specific radio resource configuration. For MR-DC, the UE capability needs to be signalled not only per RAT, but also the dependencies across the RATs arising due to UE architecture i.e. sharing model of UE hardware and software resources.</w:t>
      </w:r>
    </w:p>
    <w:p w14:paraId="29D0F648" w14:textId="464E66C1" w:rsidR="00D9482A" w:rsidRDefault="00D9482A" w:rsidP="00D9482A">
      <w:pPr>
        <w:pStyle w:val="B1"/>
        <w:numPr>
          <w:ilvl w:val="1"/>
          <w:numId w:val="5"/>
        </w:numPr>
        <w:rPr>
          <w:b/>
        </w:rPr>
      </w:pPr>
      <w:r>
        <w:t>For NR-NR DC, this is a bit simplified i.e. the MN and SN need to only digest the NR SA capabilities.</w:t>
      </w:r>
    </w:p>
    <w:p w14:paraId="41156165" w14:textId="65DA0929" w:rsidR="00D9482A" w:rsidRDefault="00D9482A" w:rsidP="00D9482A">
      <w:pPr>
        <w:pStyle w:val="B1"/>
        <w:rPr>
          <w:b/>
        </w:rPr>
      </w:pPr>
      <w:r w:rsidRPr="00660B2F">
        <w:rPr>
          <w:b/>
        </w:rPr>
        <w:t xml:space="preserve">Proposal </w:t>
      </w:r>
      <w:r w:rsidR="00FE32F2">
        <w:rPr>
          <w:b/>
        </w:rPr>
        <w:t>3</w:t>
      </w:r>
      <w:r w:rsidRPr="00660B2F">
        <w:rPr>
          <w:b/>
        </w:rPr>
        <w:t xml:space="preserve">: </w:t>
      </w:r>
      <w:r>
        <w:rPr>
          <w:b/>
        </w:rPr>
        <w:t>NR-NR DC capability is reported in the NR SA RAT specific part (and described in TS 38.331)</w:t>
      </w:r>
      <w:r w:rsidR="00D3351E">
        <w:rPr>
          <w:b/>
        </w:rPr>
        <w:t>.</w:t>
      </w:r>
    </w:p>
    <w:p w14:paraId="4A39C48F" w14:textId="326EC032" w:rsidR="009F6FED" w:rsidRDefault="00660B2F" w:rsidP="00660B2F">
      <w:pPr>
        <w:pStyle w:val="B1"/>
        <w:numPr>
          <w:ilvl w:val="0"/>
          <w:numId w:val="5"/>
        </w:numPr>
        <w:rPr>
          <w:b/>
        </w:rPr>
      </w:pPr>
      <w:r w:rsidRPr="00660B2F">
        <w:rPr>
          <w:b/>
        </w:rPr>
        <w:t>UE capability coordination between MN and SN</w:t>
      </w:r>
    </w:p>
    <w:p w14:paraId="5DD00412" w14:textId="258625B0" w:rsidR="00D9482A" w:rsidRPr="00D9482A" w:rsidRDefault="00D9482A" w:rsidP="00D9482A">
      <w:pPr>
        <w:pStyle w:val="B1"/>
        <w:numPr>
          <w:ilvl w:val="1"/>
          <w:numId w:val="5"/>
        </w:numPr>
        <w:rPr>
          <w:b/>
        </w:rPr>
      </w:pPr>
      <w:r>
        <w:t>The band combinations across LTE and NR are collected in the MR-DC band combination table, whereas the baseband processing capabilities for LTE and NR are linked across two separate tables. This structure neatly allows signalling the capability under different UE architectural assumptions (i.e. shared or separate baseband). The linking ensures that an increase in LTE baseband processing requirement will almost certainly mean a reduction in the NR baseband processing ability. It is important to note that neither the MN nor the SN need to interpret the other nodes’ capability to arrive at their own configuration.</w:t>
      </w:r>
    </w:p>
    <w:p w14:paraId="26608683" w14:textId="7AE66B4C" w:rsidR="00D9482A" w:rsidRPr="00D9482A" w:rsidRDefault="00D9482A" w:rsidP="00D9482A">
      <w:pPr>
        <w:pStyle w:val="B1"/>
        <w:numPr>
          <w:ilvl w:val="1"/>
          <w:numId w:val="5"/>
        </w:numPr>
        <w:rPr>
          <w:b/>
        </w:rPr>
      </w:pPr>
      <w:r>
        <w:t>For NR-NR DC, the NR SA capabilities can be freely interpreted by the MN and SN</w:t>
      </w:r>
    </w:p>
    <w:p w14:paraId="74AF479B" w14:textId="3722F680" w:rsidR="00D9482A" w:rsidRPr="00D9482A" w:rsidRDefault="00D9482A" w:rsidP="00D9482A">
      <w:pPr>
        <w:pStyle w:val="B1"/>
        <w:rPr>
          <w:b/>
        </w:rPr>
      </w:pPr>
      <w:r w:rsidRPr="00D9482A">
        <w:rPr>
          <w:b/>
        </w:rPr>
        <w:t xml:space="preserve">Proposal </w:t>
      </w:r>
      <w:r w:rsidR="00FE32F2">
        <w:rPr>
          <w:b/>
        </w:rPr>
        <w:t>4</w:t>
      </w:r>
      <w:r w:rsidRPr="00D9482A">
        <w:rPr>
          <w:b/>
        </w:rPr>
        <w:t>:</w:t>
      </w:r>
      <w:r>
        <w:rPr>
          <w:b/>
        </w:rPr>
        <w:t xml:space="preserve"> Relax NR-NR DC capability coordination for MN and SN to </w:t>
      </w:r>
      <w:r w:rsidR="00C6257C">
        <w:rPr>
          <w:b/>
        </w:rPr>
        <w:t>share</w:t>
      </w:r>
      <w:r>
        <w:rPr>
          <w:b/>
        </w:rPr>
        <w:t xml:space="preserve"> (but NOT modify) each other’s radio protocol configuration.</w:t>
      </w:r>
    </w:p>
    <w:p w14:paraId="31C7BAD4" w14:textId="078A1978" w:rsidR="00660B2F" w:rsidRPr="00D9482A" w:rsidRDefault="00660B2F" w:rsidP="00660B2F">
      <w:pPr>
        <w:pStyle w:val="B1"/>
        <w:numPr>
          <w:ilvl w:val="0"/>
          <w:numId w:val="5"/>
        </w:numPr>
      </w:pPr>
      <w:r>
        <w:rPr>
          <w:b/>
        </w:rPr>
        <w:t>Radio reconfiguration signalling architecture</w:t>
      </w:r>
    </w:p>
    <w:p w14:paraId="57FFC079" w14:textId="5AD001FE" w:rsidR="00D9482A" w:rsidRDefault="00D9482A" w:rsidP="00D9482A">
      <w:pPr>
        <w:pStyle w:val="B1"/>
        <w:numPr>
          <w:ilvl w:val="1"/>
          <w:numId w:val="5"/>
        </w:numPr>
      </w:pPr>
      <w:r>
        <w:t>In MR-DC, several enhancements to the radio reconfiguration message have been made to support efficient radio configuration signalling for setup of different bearer types and changes from one type to another. The following figure summarizes the logic behind the architecture.</w:t>
      </w:r>
    </w:p>
    <w:p w14:paraId="78E94B61" w14:textId="63620380" w:rsidR="00D9482A" w:rsidRDefault="00D9482A" w:rsidP="00D9482A">
      <w:pPr>
        <w:pStyle w:val="B1"/>
        <w:ind w:left="1440" w:firstLine="0"/>
        <w:jc w:val="center"/>
        <w:rPr>
          <w:lang w:eastAsia="ja-JP"/>
        </w:rPr>
      </w:pPr>
      <w:r>
        <w:rPr>
          <w:lang w:eastAsia="ja-JP"/>
        </w:rPr>
        <w:object w:dxaOrig="5631" w:dyaOrig="3330" w14:anchorId="00B32A41">
          <v:shape id="_x0000_i1026" type="#_x0000_t75" style="width:282pt;height:166.4pt" o:ole="">
            <v:imagedata r:id="rId15" o:title=""/>
          </v:shape>
          <o:OLEObject Type="Embed" ProgID="Visio.Drawing.11" ShapeID="_x0000_i1026" DrawAspect="Content" ObjectID="_1595334837" r:id="rId16"/>
        </w:object>
      </w:r>
    </w:p>
    <w:p w14:paraId="5D5F217E" w14:textId="1D971267" w:rsidR="00D9482A" w:rsidRPr="00E00A12" w:rsidRDefault="00D9482A" w:rsidP="00D9482A">
      <w:pPr>
        <w:pStyle w:val="B1"/>
        <w:ind w:left="0" w:firstLine="0"/>
        <w:jc w:val="center"/>
        <w:rPr>
          <w:b/>
        </w:rPr>
      </w:pPr>
      <w:r>
        <w:rPr>
          <w:b/>
        </w:rPr>
        <w:t>Figure 3.1-2</w:t>
      </w:r>
      <w:r w:rsidRPr="00E00A12">
        <w:rPr>
          <w:b/>
        </w:rPr>
        <w:t xml:space="preserve">: </w:t>
      </w:r>
      <w:r>
        <w:rPr>
          <w:b/>
        </w:rPr>
        <w:t>Split of radio reconfiguration into radio bearer and lower layer configuration parts.</w:t>
      </w:r>
    </w:p>
    <w:p w14:paraId="422D428E" w14:textId="297687B9" w:rsidR="00D9482A" w:rsidRPr="00660B2F" w:rsidRDefault="00D9482A" w:rsidP="00D9482A">
      <w:pPr>
        <w:pStyle w:val="B1"/>
        <w:ind w:left="360" w:firstLine="0"/>
      </w:pPr>
      <w:r w:rsidRPr="00D9482A">
        <w:rPr>
          <w:b/>
        </w:rPr>
        <w:t xml:space="preserve">Proposal </w:t>
      </w:r>
      <w:r w:rsidR="00FE32F2">
        <w:rPr>
          <w:b/>
        </w:rPr>
        <w:t>5</w:t>
      </w:r>
      <w:r w:rsidRPr="00D9482A">
        <w:rPr>
          <w:b/>
        </w:rPr>
        <w:t>:</w:t>
      </w:r>
      <w:r>
        <w:rPr>
          <w:b/>
        </w:rPr>
        <w:t xml:space="preserve"> Reuse the radio </w:t>
      </w:r>
      <w:r w:rsidR="00FE32F2">
        <w:rPr>
          <w:b/>
        </w:rPr>
        <w:t>re-</w:t>
      </w:r>
      <w:r>
        <w:rPr>
          <w:b/>
        </w:rPr>
        <w:t>configuration</w:t>
      </w:r>
      <w:r w:rsidR="00FE32F2">
        <w:rPr>
          <w:b/>
        </w:rPr>
        <w:t xml:space="preserve"> architectural</w:t>
      </w:r>
      <w:r>
        <w:rPr>
          <w:b/>
        </w:rPr>
        <w:t xml:space="preserve"> </w:t>
      </w:r>
      <w:r w:rsidR="00FE32F2">
        <w:rPr>
          <w:b/>
        </w:rPr>
        <w:t>model in MR-DC with RB and Radio protocol configuration layers separately configurable.</w:t>
      </w:r>
    </w:p>
    <w:p w14:paraId="01B8D28F" w14:textId="463F50B5" w:rsidR="00660B2F" w:rsidRDefault="00660B2F" w:rsidP="00660B2F">
      <w:pPr>
        <w:pStyle w:val="B1"/>
        <w:numPr>
          <w:ilvl w:val="0"/>
          <w:numId w:val="5"/>
        </w:numPr>
        <w:rPr>
          <w:b/>
        </w:rPr>
      </w:pPr>
      <w:r>
        <w:rPr>
          <w:b/>
        </w:rPr>
        <w:t>Radio link failure handling</w:t>
      </w:r>
    </w:p>
    <w:p w14:paraId="0607F704" w14:textId="4D6AB855" w:rsidR="00FE32F2" w:rsidRPr="00FE32F2" w:rsidRDefault="00FE32F2" w:rsidP="00FE32F2">
      <w:pPr>
        <w:pStyle w:val="B1"/>
        <w:numPr>
          <w:ilvl w:val="1"/>
          <w:numId w:val="5"/>
        </w:numPr>
        <w:rPr>
          <w:b/>
        </w:rPr>
      </w:pPr>
      <w:r>
        <w:lastRenderedPageBreak/>
        <w:t xml:space="preserve">Small cells are more susceptible to Radio Link Failure (RLF). </w:t>
      </w:r>
      <w:r>
        <w:rPr>
          <w:color w:val="000000" w:themeColor="text1"/>
        </w:rPr>
        <w:t>Radio link monitoring (RLM) in the UE is monitor</w:t>
      </w:r>
      <w:r w:rsidRPr="00AA5331">
        <w:rPr>
          <w:color w:val="000000" w:themeColor="text1"/>
        </w:rPr>
        <w:t xml:space="preserve"> the radio link condition</w:t>
      </w:r>
      <w:r>
        <w:rPr>
          <w:color w:val="000000" w:themeColor="text1"/>
        </w:rPr>
        <w:t>s</w:t>
      </w:r>
      <w:r w:rsidRPr="00AA5331">
        <w:rPr>
          <w:color w:val="000000" w:themeColor="text1"/>
        </w:rPr>
        <w:t xml:space="preserve"> so that appropriate </w:t>
      </w:r>
      <w:r>
        <w:rPr>
          <w:color w:val="000000" w:themeColor="text1"/>
        </w:rPr>
        <w:t>actions</w:t>
      </w:r>
      <w:r w:rsidRPr="00AA5331">
        <w:rPr>
          <w:color w:val="000000" w:themeColor="text1"/>
        </w:rPr>
        <w:t xml:space="preserve"> can be taken if </w:t>
      </w:r>
      <w:r>
        <w:rPr>
          <w:color w:val="000000" w:themeColor="text1"/>
        </w:rPr>
        <w:t xml:space="preserve">a </w:t>
      </w:r>
      <w:r w:rsidRPr="00AA5331">
        <w:rPr>
          <w:color w:val="000000" w:themeColor="text1"/>
        </w:rPr>
        <w:t xml:space="preserve">radio link failure (RLF) </w:t>
      </w:r>
      <w:r>
        <w:rPr>
          <w:color w:val="000000" w:themeColor="text1"/>
        </w:rPr>
        <w:t>occurs</w:t>
      </w:r>
      <w:r w:rsidRPr="00AA5331">
        <w:rPr>
          <w:color w:val="000000" w:themeColor="text1"/>
        </w:rPr>
        <w:t xml:space="preserve">. </w:t>
      </w:r>
      <w:r>
        <w:rPr>
          <w:color w:val="000000" w:themeColor="text1"/>
        </w:rPr>
        <w:t>As in LTE-DC, a UE performs radio link monitoring on both the PCell and PSCell. Upon detection of RLF on the PSCell, the UE reports a SN Failure Indication to the MN and provides the available measurement results (based on MN and SN measurement configurations). These results allow the network (MN and SN) to help recover the UE from the failure. For example, one proposed handling could be to allow the SN to decide upon the recovery action for the UE by triggering a SN change.</w:t>
      </w:r>
    </w:p>
    <w:p w14:paraId="122E795C" w14:textId="37F710BC" w:rsidR="00FE32F2" w:rsidRDefault="00FE32F2" w:rsidP="00FE32F2">
      <w:pPr>
        <w:pStyle w:val="B1"/>
        <w:ind w:left="0" w:firstLine="284"/>
        <w:rPr>
          <w:b/>
        </w:rPr>
      </w:pPr>
      <w:r w:rsidRPr="00D9482A">
        <w:rPr>
          <w:b/>
        </w:rPr>
        <w:t xml:space="preserve">Proposal </w:t>
      </w:r>
      <w:r>
        <w:rPr>
          <w:b/>
        </w:rPr>
        <w:t>6</w:t>
      </w:r>
      <w:r w:rsidRPr="00D9482A">
        <w:rPr>
          <w:b/>
        </w:rPr>
        <w:t>:</w:t>
      </w:r>
      <w:r>
        <w:rPr>
          <w:b/>
        </w:rPr>
        <w:t xml:space="preserve">  </w:t>
      </w:r>
      <w:r w:rsidR="00752447">
        <w:rPr>
          <w:b/>
        </w:rPr>
        <w:t xml:space="preserve">Retain the SCG Failure Indication based SCG RLF handling model in </w:t>
      </w:r>
      <w:r>
        <w:rPr>
          <w:b/>
        </w:rPr>
        <w:t>NR-NR DC.</w:t>
      </w:r>
    </w:p>
    <w:p w14:paraId="5A7E381B" w14:textId="782F79A5" w:rsidR="00CD4C7B" w:rsidRPr="006E13D1" w:rsidRDefault="00CD4C7B" w:rsidP="00CD4C7B">
      <w:pPr>
        <w:pStyle w:val="Heading2"/>
      </w:pPr>
      <w:r w:rsidRPr="006E13D1">
        <w:t>3.2</w:t>
      </w:r>
      <w:r w:rsidRPr="006E13D1">
        <w:tab/>
      </w:r>
      <w:r w:rsidR="00D9482A">
        <w:t xml:space="preserve">Architectural option 1: </w:t>
      </w:r>
      <w:r w:rsidR="00D9482A" w:rsidRPr="00D9482A">
        <w:t>NR-NR DC with centralized CU control plane</w:t>
      </w:r>
    </w:p>
    <w:p w14:paraId="7C22C616" w14:textId="3824D61B" w:rsidR="00D9482A" w:rsidRDefault="00011B11" w:rsidP="00D9482A">
      <w:pPr>
        <w:jc w:val="center"/>
      </w:pPr>
      <w:r w:rsidRPr="00011B11">
        <w:t xml:space="preserve"> </w:t>
      </w:r>
      <w:r>
        <w:rPr>
          <w:noProof/>
        </w:rPr>
        <w:drawing>
          <wp:inline distT="0" distB="0" distL="0" distR="0" wp14:anchorId="1E6F96E0" wp14:editId="203265D5">
            <wp:extent cx="1940936" cy="3112721"/>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47065" cy="3122551"/>
                    </a:xfrm>
                    <a:prstGeom prst="rect">
                      <a:avLst/>
                    </a:prstGeom>
                    <a:noFill/>
                    <a:ln>
                      <a:noFill/>
                    </a:ln>
                  </pic:spPr>
                </pic:pic>
              </a:graphicData>
            </a:graphic>
          </wp:inline>
        </w:drawing>
      </w:r>
    </w:p>
    <w:p w14:paraId="26CD4B7E" w14:textId="16857941" w:rsidR="00D9482A" w:rsidRDefault="00D9482A" w:rsidP="00D9482A">
      <w:pPr>
        <w:pStyle w:val="B1"/>
        <w:ind w:left="0" w:firstLine="0"/>
        <w:jc w:val="center"/>
        <w:rPr>
          <w:b/>
        </w:rPr>
      </w:pPr>
      <w:r w:rsidRPr="00E00A12">
        <w:rPr>
          <w:b/>
        </w:rPr>
        <w:t xml:space="preserve">Figure </w:t>
      </w:r>
      <w:r>
        <w:rPr>
          <w:b/>
        </w:rPr>
        <w:t>3.2-1</w:t>
      </w:r>
      <w:r w:rsidRPr="00E00A12">
        <w:rPr>
          <w:b/>
        </w:rPr>
        <w:t xml:space="preserve">: </w:t>
      </w:r>
      <w:r>
        <w:rPr>
          <w:b/>
        </w:rPr>
        <w:t>NR-NR DC with centralized CU control plane.</w:t>
      </w:r>
    </w:p>
    <w:p w14:paraId="06494322" w14:textId="6A3D6D3D" w:rsidR="00CD4C7B" w:rsidRDefault="00F0437B" w:rsidP="00F0437B">
      <w:pPr>
        <w:pStyle w:val="TF"/>
        <w:jc w:val="left"/>
        <w:rPr>
          <w:rFonts w:ascii="Times New Roman" w:hAnsi="Times New Roman"/>
          <w:b w:val="0"/>
        </w:rPr>
      </w:pPr>
      <w:r w:rsidRPr="00F0437B">
        <w:rPr>
          <w:rFonts w:ascii="Times New Roman" w:hAnsi="Times New Roman"/>
          <w:b w:val="0"/>
        </w:rPr>
        <w:t xml:space="preserve">In </w:t>
      </w:r>
      <w:r>
        <w:rPr>
          <w:rFonts w:ascii="Times New Roman" w:hAnsi="Times New Roman"/>
          <w:b w:val="0"/>
        </w:rPr>
        <w:t xml:space="preserve">the architectural option shown in Figure 3.2-1, </w:t>
      </w:r>
      <w:r w:rsidR="006048F5">
        <w:rPr>
          <w:rFonts w:ascii="Times New Roman" w:hAnsi="Times New Roman"/>
          <w:b w:val="0"/>
        </w:rPr>
        <w:t>the NR-NR DC architecture relies on the gNB centralized CU-CP model with MCG and SCG DU units. In this a</w:t>
      </w:r>
      <w:r w:rsidR="00FE6028">
        <w:rPr>
          <w:rFonts w:ascii="Times New Roman" w:hAnsi="Times New Roman"/>
          <w:b w:val="0"/>
        </w:rPr>
        <w:t>rchitecture, the MN and SN</w:t>
      </w:r>
      <w:r w:rsidR="006048F5">
        <w:rPr>
          <w:rFonts w:ascii="Times New Roman" w:hAnsi="Times New Roman"/>
          <w:b w:val="0"/>
        </w:rPr>
        <w:t xml:space="preserve"> </w:t>
      </w:r>
      <w:r w:rsidR="00FE6028">
        <w:rPr>
          <w:rFonts w:ascii="Times New Roman" w:hAnsi="Times New Roman"/>
          <w:b w:val="0"/>
        </w:rPr>
        <w:t>are in the same gNB CU-CP entity. Even so</w:t>
      </w:r>
      <w:r w:rsidR="006048F5" w:rsidRPr="006048F5">
        <w:rPr>
          <w:rFonts w:ascii="Times New Roman" w:hAnsi="Times New Roman"/>
          <w:b w:val="0"/>
        </w:rPr>
        <w:t>, the MN and SN view of the CN stays the same</w:t>
      </w:r>
      <w:r w:rsidR="006048F5">
        <w:rPr>
          <w:rFonts w:ascii="Times New Roman" w:hAnsi="Times New Roman"/>
          <w:b w:val="0"/>
        </w:rPr>
        <w:t>. Compared to the model in section 3.1, the main differences that result are as follows:</w:t>
      </w:r>
    </w:p>
    <w:p w14:paraId="672CFFA1" w14:textId="69B12AC8" w:rsidR="006048F5" w:rsidRDefault="006048F5" w:rsidP="00F0437B">
      <w:pPr>
        <w:pStyle w:val="TF"/>
        <w:jc w:val="left"/>
        <w:rPr>
          <w:rFonts w:ascii="Times New Roman" w:hAnsi="Times New Roman"/>
          <w:b w:val="0"/>
        </w:rPr>
      </w:pPr>
      <w:r>
        <w:rPr>
          <w:rFonts w:ascii="Times New Roman" w:hAnsi="Times New Roman"/>
          <w:b w:val="0"/>
        </w:rPr>
        <w:t>- There seems no need for SRB3 to be configured</w:t>
      </w:r>
    </w:p>
    <w:p w14:paraId="4CC335EA" w14:textId="48795DF1" w:rsidR="006048F5" w:rsidRDefault="006048F5" w:rsidP="00F0437B">
      <w:pPr>
        <w:pStyle w:val="TF"/>
        <w:jc w:val="left"/>
        <w:rPr>
          <w:rFonts w:ascii="Times New Roman" w:hAnsi="Times New Roman"/>
          <w:b w:val="0"/>
        </w:rPr>
      </w:pPr>
      <w:r>
        <w:rPr>
          <w:rFonts w:ascii="Times New Roman" w:hAnsi="Times New Roman"/>
          <w:b w:val="0"/>
        </w:rPr>
        <w:t>- Measurement control and reporting terminate into the same node</w:t>
      </w:r>
    </w:p>
    <w:p w14:paraId="34D4FDD7" w14:textId="0D6C840C" w:rsidR="006048F5" w:rsidRDefault="006048F5" w:rsidP="00F0437B">
      <w:pPr>
        <w:pStyle w:val="TF"/>
        <w:jc w:val="left"/>
        <w:rPr>
          <w:rFonts w:ascii="Times New Roman" w:hAnsi="Times New Roman"/>
          <w:b w:val="0"/>
        </w:rPr>
      </w:pPr>
      <w:r>
        <w:rPr>
          <w:rFonts w:ascii="Times New Roman" w:hAnsi="Times New Roman"/>
          <w:b w:val="0"/>
        </w:rPr>
        <w:t>- Capability coordination between MN and SN is internal</w:t>
      </w:r>
    </w:p>
    <w:p w14:paraId="171271E4" w14:textId="46951C73" w:rsidR="00A24EAD" w:rsidRDefault="00A24EAD" w:rsidP="00F0437B">
      <w:pPr>
        <w:pStyle w:val="TF"/>
        <w:jc w:val="left"/>
        <w:rPr>
          <w:rFonts w:ascii="Times New Roman" w:hAnsi="Times New Roman"/>
          <w:b w:val="0"/>
        </w:rPr>
      </w:pPr>
      <w:r>
        <w:rPr>
          <w:rFonts w:ascii="Times New Roman" w:hAnsi="Times New Roman"/>
          <w:b w:val="0"/>
        </w:rPr>
        <w:t>However, f</w:t>
      </w:r>
      <w:r w:rsidRPr="00A24EAD">
        <w:rPr>
          <w:rFonts w:ascii="Times New Roman" w:hAnsi="Times New Roman"/>
          <w:b w:val="0"/>
        </w:rPr>
        <w:t>rom UE point of view, the concept of the MCG and S</w:t>
      </w:r>
      <w:r>
        <w:rPr>
          <w:rFonts w:ascii="Times New Roman" w:hAnsi="Times New Roman"/>
          <w:b w:val="0"/>
        </w:rPr>
        <w:t>CG are relevant and key to DC.</w:t>
      </w:r>
    </w:p>
    <w:p w14:paraId="34BE79A8" w14:textId="7E9455F9" w:rsidR="00DE1C4B" w:rsidRDefault="00A24EAD" w:rsidP="00F0437B">
      <w:pPr>
        <w:pStyle w:val="TF"/>
        <w:jc w:val="left"/>
        <w:rPr>
          <w:rFonts w:ascii="Times New Roman" w:hAnsi="Times New Roman"/>
        </w:rPr>
      </w:pPr>
      <w:r w:rsidRPr="00A24EAD">
        <w:rPr>
          <w:rFonts w:ascii="Times New Roman" w:hAnsi="Times New Roman"/>
        </w:rPr>
        <w:t xml:space="preserve">Proposal 7: </w:t>
      </w:r>
      <w:r w:rsidR="00DE1C4B">
        <w:rPr>
          <w:rFonts w:ascii="Times New Roman" w:hAnsi="Times New Roman"/>
        </w:rPr>
        <w:t>From RAN2 point of view, a</w:t>
      </w:r>
      <w:r>
        <w:rPr>
          <w:rFonts w:ascii="Times New Roman" w:hAnsi="Times New Roman"/>
        </w:rPr>
        <w:t xml:space="preserve">dopt the </w:t>
      </w:r>
      <w:r w:rsidR="00DE1C4B">
        <w:rPr>
          <w:rFonts w:ascii="Times New Roman" w:hAnsi="Times New Roman"/>
        </w:rPr>
        <w:t xml:space="preserve">concept of </w:t>
      </w:r>
      <w:r w:rsidR="00DE1C4B" w:rsidRPr="00DE1C4B">
        <w:rPr>
          <w:rFonts w:ascii="Times New Roman" w:hAnsi="Times New Roman"/>
        </w:rPr>
        <w:t>MCG and SCG for NR-NR DC.</w:t>
      </w:r>
    </w:p>
    <w:p w14:paraId="67131C7E" w14:textId="62AB0F5A" w:rsidR="00A24EAD" w:rsidRDefault="00DE1C4B" w:rsidP="00F0437B">
      <w:pPr>
        <w:pStyle w:val="TF"/>
        <w:jc w:val="left"/>
        <w:rPr>
          <w:rFonts w:ascii="Times New Roman" w:hAnsi="Times New Roman"/>
        </w:rPr>
      </w:pPr>
      <w:r w:rsidRPr="00A24EAD">
        <w:rPr>
          <w:rFonts w:ascii="Times New Roman" w:hAnsi="Times New Roman"/>
        </w:rPr>
        <w:t xml:space="preserve">Proposal </w:t>
      </w:r>
      <w:r>
        <w:rPr>
          <w:rFonts w:ascii="Times New Roman" w:hAnsi="Times New Roman"/>
        </w:rPr>
        <w:t>8</w:t>
      </w:r>
      <w:r w:rsidRPr="00A24EAD">
        <w:rPr>
          <w:rFonts w:ascii="Times New Roman" w:hAnsi="Times New Roman"/>
        </w:rPr>
        <w:t xml:space="preserve">: </w:t>
      </w:r>
      <w:r>
        <w:rPr>
          <w:rFonts w:ascii="Times New Roman" w:hAnsi="Times New Roman"/>
        </w:rPr>
        <w:t>From network point of view, adopt the principle that MN and SN logical nodes are hosted on the gNB-CU-CP for NR-NR DC (i.e. no need to define another logical node which has properties of both the MN and SN).</w:t>
      </w:r>
    </w:p>
    <w:p w14:paraId="5778E029" w14:textId="404532AE" w:rsidR="00734F81" w:rsidRDefault="00734F81" w:rsidP="00F0437B">
      <w:pPr>
        <w:pStyle w:val="TF"/>
        <w:jc w:val="left"/>
        <w:rPr>
          <w:rFonts w:ascii="Times New Roman" w:hAnsi="Times New Roman"/>
          <w:b w:val="0"/>
        </w:rPr>
      </w:pPr>
      <w:r w:rsidRPr="001D7B25">
        <w:rPr>
          <w:rFonts w:ascii="Times New Roman" w:hAnsi="Times New Roman"/>
          <w:b w:val="0"/>
        </w:rPr>
        <w:t>In addition to the above,</w:t>
      </w:r>
      <w:r>
        <w:rPr>
          <w:rFonts w:ascii="Times New Roman" w:hAnsi="Times New Roman"/>
          <w:b w:val="0"/>
        </w:rPr>
        <w:t xml:space="preserve"> the following is also proposed, </w:t>
      </w:r>
    </w:p>
    <w:p w14:paraId="7FBE7584" w14:textId="48AF4350" w:rsidR="00011B11" w:rsidRPr="001D7B25" w:rsidRDefault="00011B11" w:rsidP="00734F81">
      <w:pPr>
        <w:pStyle w:val="TF"/>
        <w:jc w:val="left"/>
        <w:rPr>
          <w:rFonts w:ascii="Times New Roman" w:hAnsi="Times New Roman"/>
          <w:b w:val="0"/>
        </w:rPr>
      </w:pPr>
      <w:r w:rsidRPr="00A24EAD">
        <w:rPr>
          <w:rFonts w:ascii="Times New Roman" w:hAnsi="Times New Roman"/>
        </w:rPr>
        <w:t xml:space="preserve">Proposal </w:t>
      </w:r>
      <w:r>
        <w:rPr>
          <w:rFonts w:ascii="Times New Roman" w:hAnsi="Times New Roman"/>
        </w:rPr>
        <w:t>9</w:t>
      </w:r>
      <w:r w:rsidRPr="00A24EAD">
        <w:rPr>
          <w:rFonts w:ascii="Times New Roman" w:hAnsi="Times New Roman"/>
        </w:rPr>
        <w:t xml:space="preserve">: </w:t>
      </w:r>
      <w:r>
        <w:rPr>
          <w:rFonts w:ascii="Times New Roman" w:hAnsi="Times New Roman"/>
        </w:rPr>
        <w:t>For NR-NR DC, allow the configuration of split SRB terminated on MN and split SRB terminated on SN.</w:t>
      </w:r>
    </w:p>
    <w:p w14:paraId="43A12B72" w14:textId="6BAC7BC4" w:rsidR="00CD4C7B" w:rsidRPr="006E13D1" w:rsidRDefault="00CD4C7B" w:rsidP="00CD4C7B">
      <w:pPr>
        <w:pStyle w:val="Heading1"/>
      </w:pPr>
      <w:r w:rsidRPr="006E13D1">
        <w:lastRenderedPageBreak/>
        <w:t>4</w:t>
      </w:r>
      <w:r w:rsidRPr="006E13D1">
        <w:tab/>
      </w:r>
      <w:r w:rsidR="000A7B23">
        <w:t>Conclusion</w:t>
      </w:r>
    </w:p>
    <w:p w14:paraId="190C81D1" w14:textId="50280FB2" w:rsidR="00CD4C7B" w:rsidRDefault="00D3351E" w:rsidP="00CD4C7B">
      <w:r>
        <w:t xml:space="preserve">In this contribution, two architectural options for NR-NR DC have been discussed. </w:t>
      </w:r>
      <w:proofErr w:type="gramStart"/>
      <w:r>
        <w:t>In light of</w:t>
      </w:r>
      <w:proofErr w:type="gramEnd"/>
      <w:r>
        <w:t xml:space="preserve"> the discussions, the following proposals are made:</w:t>
      </w:r>
    </w:p>
    <w:p w14:paraId="6111EE57" w14:textId="07F15B2C" w:rsidR="00D3351E" w:rsidRDefault="00D3351E" w:rsidP="00D3351E">
      <w:pPr>
        <w:pStyle w:val="B1"/>
        <w:ind w:left="0" w:firstLine="0"/>
        <w:rPr>
          <w:b/>
        </w:rPr>
      </w:pPr>
      <w:r>
        <w:rPr>
          <w:b/>
        </w:rPr>
        <w:t>Proposal 1</w:t>
      </w:r>
      <w:r w:rsidRPr="00660B2F">
        <w:rPr>
          <w:b/>
        </w:rPr>
        <w:t xml:space="preserve">: </w:t>
      </w:r>
      <w:r>
        <w:rPr>
          <w:b/>
        </w:rPr>
        <w:t>Allow SN to be able to configure the SRB3 in NR-NR DC</w:t>
      </w:r>
      <w:bookmarkStart w:id="0" w:name="_GoBack"/>
      <w:bookmarkEnd w:id="0"/>
      <w:r>
        <w:rPr>
          <w:b/>
        </w:rPr>
        <w:t>.</w:t>
      </w:r>
    </w:p>
    <w:p w14:paraId="2C033CFD" w14:textId="0BAF59BA" w:rsidR="00D3351E" w:rsidRDefault="00D3351E" w:rsidP="00D3351E">
      <w:pPr>
        <w:pStyle w:val="B1"/>
        <w:ind w:left="0" w:firstLine="0"/>
        <w:rPr>
          <w:b/>
        </w:rPr>
      </w:pPr>
      <w:r w:rsidRPr="00660B2F">
        <w:rPr>
          <w:b/>
        </w:rPr>
        <w:t xml:space="preserve">Proposal </w:t>
      </w:r>
      <w:r>
        <w:rPr>
          <w:b/>
        </w:rPr>
        <w:t>2</w:t>
      </w:r>
      <w:r w:rsidRPr="00660B2F">
        <w:rPr>
          <w:b/>
        </w:rPr>
        <w:t xml:space="preserve">: </w:t>
      </w:r>
      <w:r>
        <w:rPr>
          <w:b/>
        </w:rPr>
        <w:t>Allow SN centric mobility management in NR-NR DC e.g. SN initiated SN change, SN initiated PSCell change etc.</w:t>
      </w:r>
    </w:p>
    <w:p w14:paraId="11D9D7AD" w14:textId="780D29A3" w:rsidR="00D3351E" w:rsidRDefault="00D3351E" w:rsidP="00D3351E">
      <w:pPr>
        <w:pStyle w:val="B1"/>
        <w:ind w:left="0" w:firstLine="0"/>
        <w:rPr>
          <w:b/>
        </w:rPr>
      </w:pPr>
      <w:r w:rsidRPr="00660B2F">
        <w:rPr>
          <w:b/>
        </w:rPr>
        <w:t xml:space="preserve">Proposal </w:t>
      </w:r>
      <w:r>
        <w:rPr>
          <w:b/>
        </w:rPr>
        <w:t>3</w:t>
      </w:r>
      <w:r w:rsidRPr="00660B2F">
        <w:rPr>
          <w:b/>
        </w:rPr>
        <w:t xml:space="preserve">: </w:t>
      </w:r>
      <w:r>
        <w:rPr>
          <w:b/>
        </w:rPr>
        <w:t>NR-NR DC capability is reported in the NR SA RAT specific part (and described in TS 38.331).</w:t>
      </w:r>
    </w:p>
    <w:p w14:paraId="2BEF05B8" w14:textId="4C2D6968" w:rsidR="00D3351E" w:rsidRDefault="00D3351E" w:rsidP="00CD4C7B">
      <w:r w:rsidRPr="00D9482A">
        <w:rPr>
          <w:b/>
        </w:rPr>
        <w:t xml:space="preserve">Proposal </w:t>
      </w:r>
      <w:r>
        <w:rPr>
          <w:b/>
        </w:rPr>
        <w:t>4</w:t>
      </w:r>
      <w:r w:rsidRPr="00D9482A">
        <w:rPr>
          <w:b/>
        </w:rPr>
        <w:t>:</w:t>
      </w:r>
      <w:r>
        <w:rPr>
          <w:b/>
        </w:rPr>
        <w:t xml:space="preserve"> Relax NR-NR DC capability coordination for MN and SN to </w:t>
      </w:r>
      <w:r w:rsidR="00C6257C">
        <w:rPr>
          <w:b/>
        </w:rPr>
        <w:t>share</w:t>
      </w:r>
      <w:r>
        <w:rPr>
          <w:b/>
        </w:rPr>
        <w:t xml:space="preserve"> (but NOT modify) each other’s radio protocol configuration.</w:t>
      </w:r>
    </w:p>
    <w:p w14:paraId="3990A52F" w14:textId="7D1DDE4D" w:rsidR="00D3351E" w:rsidRDefault="00D3351E" w:rsidP="00CD4C7B">
      <w:r w:rsidRPr="00D9482A">
        <w:rPr>
          <w:b/>
        </w:rPr>
        <w:t xml:space="preserve">Proposal </w:t>
      </w:r>
      <w:r>
        <w:rPr>
          <w:b/>
        </w:rPr>
        <w:t>5</w:t>
      </w:r>
      <w:r w:rsidRPr="00D9482A">
        <w:rPr>
          <w:b/>
        </w:rPr>
        <w:t>:</w:t>
      </w:r>
      <w:r>
        <w:rPr>
          <w:b/>
        </w:rPr>
        <w:t xml:space="preserve"> Reuse the radio re-configuration architectural model in MR-DC with RB and Radio protocol configuration layers separately configurable.</w:t>
      </w:r>
    </w:p>
    <w:p w14:paraId="454024FF" w14:textId="1549D289" w:rsidR="00D3351E" w:rsidRDefault="00D3351E" w:rsidP="00D3351E">
      <w:pPr>
        <w:pStyle w:val="B1"/>
        <w:ind w:left="0" w:firstLine="0"/>
        <w:rPr>
          <w:b/>
        </w:rPr>
      </w:pPr>
      <w:r w:rsidRPr="00D9482A">
        <w:rPr>
          <w:b/>
        </w:rPr>
        <w:t xml:space="preserve">Proposal </w:t>
      </w:r>
      <w:r>
        <w:rPr>
          <w:b/>
        </w:rPr>
        <w:t>6</w:t>
      </w:r>
      <w:r w:rsidRPr="00D9482A">
        <w:rPr>
          <w:b/>
        </w:rPr>
        <w:t>:</w:t>
      </w:r>
      <w:r>
        <w:rPr>
          <w:b/>
        </w:rPr>
        <w:t xml:space="preserve">  Retain the SCG Failure Indication based SCG RLF handling model in NR-NR DC.</w:t>
      </w:r>
    </w:p>
    <w:p w14:paraId="3DBDA845" w14:textId="34F68FA2" w:rsidR="00D3351E" w:rsidRDefault="00D3351E" w:rsidP="00D3351E">
      <w:pPr>
        <w:pStyle w:val="TF"/>
        <w:jc w:val="left"/>
        <w:rPr>
          <w:rFonts w:ascii="Times New Roman" w:hAnsi="Times New Roman"/>
        </w:rPr>
      </w:pPr>
      <w:r w:rsidRPr="00A24EAD">
        <w:rPr>
          <w:rFonts w:ascii="Times New Roman" w:hAnsi="Times New Roman"/>
        </w:rPr>
        <w:t xml:space="preserve">Proposal 7: </w:t>
      </w:r>
      <w:r>
        <w:rPr>
          <w:rFonts w:ascii="Times New Roman" w:hAnsi="Times New Roman"/>
        </w:rPr>
        <w:t xml:space="preserve">From RAN2 point of view, adopt the concept of </w:t>
      </w:r>
      <w:r w:rsidRPr="00DE1C4B">
        <w:rPr>
          <w:rFonts w:ascii="Times New Roman" w:hAnsi="Times New Roman"/>
        </w:rPr>
        <w:t>MCG and SCG</w:t>
      </w:r>
      <w:r>
        <w:rPr>
          <w:rFonts w:ascii="Times New Roman" w:hAnsi="Times New Roman"/>
        </w:rPr>
        <w:t xml:space="preserve"> for NR-NR DC for the centralized architectural option with gNB-CU-CP.</w:t>
      </w:r>
    </w:p>
    <w:p w14:paraId="2FED304A" w14:textId="0A37B41E" w:rsidR="00D3351E" w:rsidRDefault="00D3351E" w:rsidP="00D3351E">
      <w:pPr>
        <w:pStyle w:val="TF"/>
        <w:jc w:val="left"/>
        <w:rPr>
          <w:rFonts w:ascii="Times New Roman" w:hAnsi="Times New Roman"/>
        </w:rPr>
      </w:pPr>
      <w:r w:rsidRPr="00A24EAD">
        <w:rPr>
          <w:rFonts w:ascii="Times New Roman" w:hAnsi="Times New Roman"/>
        </w:rPr>
        <w:t xml:space="preserve">Proposal </w:t>
      </w:r>
      <w:r>
        <w:rPr>
          <w:rFonts w:ascii="Times New Roman" w:hAnsi="Times New Roman"/>
        </w:rPr>
        <w:t>8</w:t>
      </w:r>
      <w:r w:rsidRPr="00A24EAD">
        <w:rPr>
          <w:rFonts w:ascii="Times New Roman" w:hAnsi="Times New Roman"/>
        </w:rPr>
        <w:t xml:space="preserve">: </w:t>
      </w:r>
      <w:r>
        <w:rPr>
          <w:rFonts w:ascii="Times New Roman" w:hAnsi="Times New Roman"/>
        </w:rPr>
        <w:t>From network point of view, adopt the principle that MN and SN logical nodes are hosted on the gNB-CU-CP for NR-NR DC (i.e. no need to define another logical node which has properties of both the MN and SN).</w:t>
      </w:r>
    </w:p>
    <w:p w14:paraId="53832311" w14:textId="49DCABB4" w:rsidR="00734F81" w:rsidRPr="001D7B25" w:rsidRDefault="00734F81" w:rsidP="00D3351E">
      <w:pPr>
        <w:pStyle w:val="TF"/>
        <w:jc w:val="left"/>
        <w:rPr>
          <w:rFonts w:ascii="Times New Roman" w:hAnsi="Times New Roman"/>
          <w:b w:val="0"/>
        </w:rPr>
      </w:pPr>
      <w:r w:rsidRPr="00A24EAD">
        <w:rPr>
          <w:rFonts w:ascii="Times New Roman" w:hAnsi="Times New Roman"/>
        </w:rPr>
        <w:t xml:space="preserve">Proposal </w:t>
      </w:r>
      <w:r>
        <w:rPr>
          <w:rFonts w:ascii="Times New Roman" w:hAnsi="Times New Roman"/>
        </w:rPr>
        <w:t>9</w:t>
      </w:r>
      <w:r w:rsidRPr="00A24EAD">
        <w:rPr>
          <w:rFonts w:ascii="Times New Roman" w:hAnsi="Times New Roman"/>
        </w:rPr>
        <w:t xml:space="preserve">: </w:t>
      </w:r>
      <w:r>
        <w:rPr>
          <w:rFonts w:ascii="Times New Roman" w:hAnsi="Times New Roman"/>
        </w:rPr>
        <w:t>For NR-NR DC, allow the configuration of split SRB terminated on MN and split SRB terminated on SN.</w:t>
      </w:r>
    </w:p>
    <w:p w14:paraId="0FDCFAC2" w14:textId="77777777" w:rsidR="00CD4C7B" w:rsidRPr="006E13D1" w:rsidRDefault="00CD4C7B" w:rsidP="00CD4C7B">
      <w:pPr>
        <w:pStyle w:val="Heading1"/>
      </w:pPr>
      <w:r w:rsidRPr="006E13D1">
        <w:t>References</w:t>
      </w:r>
    </w:p>
    <w:p w14:paraId="2B8C910F" w14:textId="77777777" w:rsidR="00CD4C7B" w:rsidRPr="006E13D1" w:rsidRDefault="0090466A" w:rsidP="00CD4C7B">
      <w:pPr>
        <w:numPr>
          <w:ilvl w:val="0"/>
          <w:numId w:val="4"/>
        </w:numPr>
        <w:overflowPunct w:val="0"/>
        <w:autoSpaceDE w:val="0"/>
        <w:autoSpaceDN w:val="0"/>
        <w:adjustRightInd w:val="0"/>
        <w:textAlignment w:val="baseline"/>
      </w:pPr>
      <w:bookmarkStart w:id="1" w:name="_Ref75086397"/>
      <w:r>
        <w:t>3GPP TS 21.801</w:t>
      </w:r>
      <w:r w:rsidR="00CD4C7B" w:rsidRPr="006E13D1">
        <w:t xml:space="preserve"> </w:t>
      </w:r>
      <w:r w:rsidR="00CD4C7B" w:rsidRPr="006E13D1">
        <w:rPr>
          <w:i/>
          <w:iCs/>
        </w:rPr>
        <w:t>Drafting Rules</w:t>
      </w:r>
    </w:p>
    <w:p w14:paraId="4AA5C936" w14:textId="06AA5600" w:rsidR="00CD4C7B" w:rsidRPr="006E13D1" w:rsidRDefault="00B27303" w:rsidP="00CD4C7B">
      <w:pPr>
        <w:numPr>
          <w:ilvl w:val="0"/>
          <w:numId w:val="4"/>
        </w:numPr>
        <w:overflowPunct w:val="0"/>
        <w:autoSpaceDE w:val="0"/>
        <w:autoSpaceDN w:val="0"/>
        <w:adjustRightInd w:val="0"/>
        <w:textAlignment w:val="baseline"/>
      </w:pPr>
      <w:r>
        <w:t>Rx-18x</w:t>
      </w:r>
      <w:r w:rsidR="0090466A">
        <w:t>xxxx</w:t>
      </w:r>
      <w:r w:rsidR="00CD4C7B" w:rsidRPr="006E13D1">
        <w:t xml:space="preserve"> </w:t>
      </w:r>
      <w:r w:rsidR="00CD4C7B" w:rsidRPr="006E13D1">
        <w:rPr>
          <w:i/>
          <w:iCs/>
        </w:rPr>
        <w:t>Title</w:t>
      </w:r>
      <w:bookmarkEnd w:id="1"/>
      <w:r w:rsidR="0090466A">
        <w:t xml:space="preserve"> - </w:t>
      </w:r>
      <w:r w:rsidR="00CD4C7B" w:rsidRPr="006E13D1">
        <w:t>Company</w:t>
      </w:r>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E2F9AB" w14:textId="77777777" w:rsidR="00E14A88" w:rsidRDefault="00E14A88">
      <w:r>
        <w:separator/>
      </w:r>
    </w:p>
  </w:endnote>
  <w:endnote w:type="continuationSeparator" w:id="0">
    <w:p w14:paraId="07ACD12F" w14:textId="77777777" w:rsidR="00E14A88" w:rsidRDefault="00E14A88">
      <w:r>
        <w:continuationSeparator/>
      </w:r>
    </w:p>
  </w:endnote>
  <w:endnote w:type="continuationNotice" w:id="1">
    <w:p w14:paraId="6B009795" w14:textId="77777777" w:rsidR="00E14A88" w:rsidRDefault="00E14A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0238" w14:textId="77777777" w:rsidR="00035EB1" w:rsidRDefault="00035E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F031E" w14:textId="77777777" w:rsidR="00035EB1" w:rsidRDefault="00035E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2DB38" w14:textId="77777777" w:rsidR="00035EB1" w:rsidRDefault="00035E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642616" w14:textId="77777777" w:rsidR="00E14A88" w:rsidRDefault="00E14A88">
      <w:r>
        <w:separator/>
      </w:r>
    </w:p>
  </w:footnote>
  <w:footnote w:type="continuationSeparator" w:id="0">
    <w:p w14:paraId="5289DC82" w14:textId="77777777" w:rsidR="00E14A88" w:rsidRDefault="00E14A88">
      <w:r>
        <w:continuationSeparator/>
      </w:r>
    </w:p>
  </w:footnote>
  <w:footnote w:type="continuationNotice" w:id="1">
    <w:p w14:paraId="7EC7DBCE" w14:textId="77777777" w:rsidR="00E14A88" w:rsidRDefault="00E14A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63733" w14:textId="77777777" w:rsidR="00035EB1" w:rsidRDefault="00035E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75F4B" w14:textId="77777777" w:rsidR="00035EB1" w:rsidRDefault="00035E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4F1A4" w14:textId="77777777" w:rsidR="00035EB1" w:rsidRDefault="00035E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473C7EAE"/>
    <w:multiLevelType w:val="hybridMultilevel"/>
    <w:tmpl w:val="309C30DA"/>
    <w:lvl w:ilvl="0" w:tplc="4ECEAD2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1B11"/>
    <w:rsid w:val="00033397"/>
    <w:rsid w:val="00035EB1"/>
    <w:rsid w:val="00040095"/>
    <w:rsid w:val="00080512"/>
    <w:rsid w:val="00090468"/>
    <w:rsid w:val="000A7B23"/>
    <w:rsid w:val="000B7BCF"/>
    <w:rsid w:val="000C522B"/>
    <w:rsid w:val="000D58AB"/>
    <w:rsid w:val="000F4E1E"/>
    <w:rsid w:val="00112F1A"/>
    <w:rsid w:val="00142F8E"/>
    <w:rsid w:val="00145075"/>
    <w:rsid w:val="001741A0"/>
    <w:rsid w:val="00175FA0"/>
    <w:rsid w:val="00194CD0"/>
    <w:rsid w:val="001B49C9"/>
    <w:rsid w:val="001C4F79"/>
    <w:rsid w:val="001D7B25"/>
    <w:rsid w:val="001F168B"/>
    <w:rsid w:val="001F7831"/>
    <w:rsid w:val="00204045"/>
    <w:rsid w:val="0020712B"/>
    <w:rsid w:val="00221994"/>
    <w:rsid w:val="0022606D"/>
    <w:rsid w:val="00231728"/>
    <w:rsid w:val="002610D8"/>
    <w:rsid w:val="002747EC"/>
    <w:rsid w:val="002855BF"/>
    <w:rsid w:val="002E3D14"/>
    <w:rsid w:val="002F0D22"/>
    <w:rsid w:val="003172DC"/>
    <w:rsid w:val="00325AE3"/>
    <w:rsid w:val="00326069"/>
    <w:rsid w:val="00346402"/>
    <w:rsid w:val="0035462D"/>
    <w:rsid w:val="00364B41"/>
    <w:rsid w:val="003A41EF"/>
    <w:rsid w:val="003B40AD"/>
    <w:rsid w:val="003C4E37"/>
    <w:rsid w:val="003E16BE"/>
    <w:rsid w:val="003F4E28"/>
    <w:rsid w:val="004006E8"/>
    <w:rsid w:val="00401855"/>
    <w:rsid w:val="00477455"/>
    <w:rsid w:val="004A1F7B"/>
    <w:rsid w:val="004C44D2"/>
    <w:rsid w:val="004D3578"/>
    <w:rsid w:val="004D380D"/>
    <w:rsid w:val="004D529E"/>
    <w:rsid w:val="004E1CF1"/>
    <w:rsid w:val="004E213A"/>
    <w:rsid w:val="00503171"/>
    <w:rsid w:val="00506C28"/>
    <w:rsid w:val="00526741"/>
    <w:rsid w:val="00534DA0"/>
    <w:rsid w:val="00543E6C"/>
    <w:rsid w:val="00565087"/>
    <w:rsid w:val="0056573F"/>
    <w:rsid w:val="00577236"/>
    <w:rsid w:val="006048F5"/>
    <w:rsid w:val="00611566"/>
    <w:rsid w:val="00616674"/>
    <w:rsid w:val="00646D99"/>
    <w:rsid w:val="00656910"/>
    <w:rsid w:val="00660B2F"/>
    <w:rsid w:val="00672B57"/>
    <w:rsid w:val="006A1636"/>
    <w:rsid w:val="006C66D8"/>
    <w:rsid w:val="006D1E24"/>
    <w:rsid w:val="006E1417"/>
    <w:rsid w:val="006F6A2C"/>
    <w:rsid w:val="00710201"/>
    <w:rsid w:val="007342B5"/>
    <w:rsid w:val="00734A5B"/>
    <w:rsid w:val="00734F81"/>
    <w:rsid w:val="00744E76"/>
    <w:rsid w:val="00752447"/>
    <w:rsid w:val="00757D40"/>
    <w:rsid w:val="00781F0F"/>
    <w:rsid w:val="0078727C"/>
    <w:rsid w:val="0079049D"/>
    <w:rsid w:val="00793DC5"/>
    <w:rsid w:val="007B18D8"/>
    <w:rsid w:val="007C095F"/>
    <w:rsid w:val="007C2DD0"/>
    <w:rsid w:val="008028A4"/>
    <w:rsid w:val="00813245"/>
    <w:rsid w:val="008768CA"/>
    <w:rsid w:val="00877EF9"/>
    <w:rsid w:val="00880559"/>
    <w:rsid w:val="008B5306"/>
    <w:rsid w:val="008D2E4D"/>
    <w:rsid w:val="0090271F"/>
    <w:rsid w:val="00902DB9"/>
    <w:rsid w:val="0090466A"/>
    <w:rsid w:val="00936071"/>
    <w:rsid w:val="00940212"/>
    <w:rsid w:val="00942EC2"/>
    <w:rsid w:val="00961B32"/>
    <w:rsid w:val="00970DB3"/>
    <w:rsid w:val="00974BB0"/>
    <w:rsid w:val="009777C9"/>
    <w:rsid w:val="009A0AF3"/>
    <w:rsid w:val="009B07CD"/>
    <w:rsid w:val="009C19E9"/>
    <w:rsid w:val="009D74A6"/>
    <w:rsid w:val="009F6FED"/>
    <w:rsid w:val="00A10F02"/>
    <w:rsid w:val="00A204CA"/>
    <w:rsid w:val="00A24EAD"/>
    <w:rsid w:val="00A53724"/>
    <w:rsid w:val="00A82346"/>
    <w:rsid w:val="00A9671C"/>
    <w:rsid w:val="00AA1553"/>
    <w:rsid w:val="00B05962"/>
    <w:rsid w:val="00B15449"/>
    <w:rsid w:val="00B27303"/>
    <w:rsid w:val="00B47FD1"/>
    <w:rsid w:val="00B516BB"/>
    <w:rsid w:val="00BC3555"/>
    <w:rsid w:val="00C12B51"/>
    <w:rsid w:val="00C24650"/>
    <w:rsid w:val="00C33079"/>
    <w:rsid w:val="00C6257C"/>
    <w:rsid w:val="00C81415"/>
    <w:rsid w:val="00C83A13"/>
    <w:rsid w:val="00C9068C"/>
    <w:rsid w:val="00C92967"/>
    <w:rsid w:val="00CA3D0C"/>
    <w:rsid w:val="00CA654B"/>
    <w:rsid w:val="00CD4C7B"/>
    <w:rsid w:val="00CE1B9C"/>
    <w:rsid w:val="00D25C81"/>
    <w:rsid w:val="00D3351E"/>
    <w:rsid w:val="00D33BE3"/>
    <w:rsid w:val="00D3792D"/>
    <w:rsid w:val="00D55E47"/>
    <w:rsid w:val="00D62E19"/>
    <w:rsid w:val="00D67CD1"/>
    <w:rsid w:val="00D738D6"/>
    <w:rsid w:val="00D80795"/>
    <w:rsid w:val="00D854BE"/>
    <w:rsid w:val="00D87E00"/>
    <w:rsid w:val="00D9134D"/>
    <w:rsid w:val="00D9482A"/>
    <w:rsid w:val="00D96D11"/>
    <w:rsid w:val="00DA7A03"/>
    <w:rsid w:val="00DB0DB8"/>
    <w:rsid w:val="00DB1818"/>
    <w:rsid w:val="00DC309B"/>
    <w:rsid w:val="00DC4DA2"/>
    <w:rsid w:val="00DE1C4B"/>
    <w:rsid w:val="00E00A12"/>
    <w:rsid w:val="00E14A88"/>
    <w:rsid w:val="00E471CF"/>
    <w:rsid w:val="00E62835"/>
    <w:rsid w:val="00E77645"/>
    <w:rsid w:val="00E83697"/>
    <w:rsid w:val="00EC4A25"/>
    <w:rsid w:val="00F025A2"/>
    <w:rsid w:val="00F0437B"/>
    <w:rsid w:val="00F06BD0"/>
    <w:rsid w:val="00F07388"/>
    <w:rsid w:val="00F2026E"/>
    <w:rsid w:val="00F2210A"/>
    <w:rsid w:val="00F37743"/>
    <w:rsid w:val="00F54A3D"/>
    <w:rsid w:val="00F54CB0"/>
    <w:rsid w:val="00F653B8"/>
    <w:rsid w:val="00F71B89"/>
    <w:rsid w:val="00F7353C"/>
    <w:rsid w:val="00F76F8F"/>
    <w:rsid w:val="00F941DF"/>
    <w:rsid w:val="00FA1266"/>
    <w:rsid w:val="00FB36FA"/>
    <w:rsid w:val="00FC1192"/>
    <w:rsid w:val="00FE251B"/>
    <w:rsid w:val="00FE32F2"/>
    <w:rsid w:val="00FE6028"/>
    <w:rsid w:val="00FF3E28"/>
    <w:rsid w:val="77B4DDE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CommentReference">
    <w:name w:val="annotation reference"/>
    <w:basedOn w:val="DefaultParagraphFont"/>
    <w:rsid w:val="00CE1B9C"/>
    <w:rPr>
      <w:sz w:val="16"/>
      <w:szCs w:val="16"/>
    </w:rPr>
  </w:style>
  <w:style w:type="paragraph" w:styleId="CommentText">
    <w:name w:val="annotation text"/>
    <w:basedOn w:val="Normal"/>
    <w:link w:val="CommentTextChar"/>
    <w:rsid w:val="00CE1B9C"/>
  </w:style>
  <w:style w:type="character" w:customStyle="1" w:styleId="CommentTextChar">
    <w:name w:val="Comment Text Char"/>
    <w:basedOn w:val="DefaultParagraphFont"/>
    <w:link w:val="CommentText"/>
    <w:rsid w:val="00CE1B9C"/>
    <w:rPr>
      <w:lang w:eastAsia="en-US"/>
    </w:rPr>
  </w:style>
  <w:style w:type="paragraph" w:styleId="CommentSubject">
    <w:name w:val="annotation subject"/>
    <w:basedOn w:val="CommentText"/>
    <w:next w:val="CommentText"/>
    <w:link w:val="CommentSubjectChar"/>
    <w:rsid w:val="00CE1B9C"/>
    <w:rPr>
      <w:b/>
      <w:bCs/>
    </w:rPr>
  </w:style>
  <w:style w:type="character" w:customStyle="1" w:styleId="CommentSubjectChar">
    <w:name w:val="Comment Subject Char"/>
    <w:basedOn w:val="CommentTextChar"/>
    <w:link w:val="CommentSubject"/>
    <w:rsid w:val="00CE1B9C"/>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5AIRPNAIUNRU-859666464-2419</_dlc_DocId>
    <_dlc_DocIdUrl xmlns="71c5aaf6-e6ce-465b-b873-5148d2a4c105">
      <Url>https://nokia.sharepoint.com/sites/c5g/e2earch/_layouts/15/DocIdRedir.aspx?ID=5AIRPNAIUNRU-859666464-2419</Url>
      <Description>5AIRPNAIUNRU-859666464-2419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F00E80-4C6E-4F30-8C1E-C92015B3015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D092EC71-FC9C-40D3-AF9B-E5AF610C6869}">
  <ds:schemaRefs>
    <ds:schemaRef ds:uri="http://schemas.microsoft.com/sharepoint/v3/contenttype/forms"/>
  </ds:schemaRefs>
</ds:datastoreItem>
</file>

<file path=customXml/itemProps3.xml><?xml version="1.0" encoding="utf-8"?>
<ds:datastoreItem xmlns:ds="http://schemas.openxmlformats.org/officeDocument/2006/customXml" ds:itemID="{AD667175-0CA6-4D3F-A91C-9E464838657B}">
  <ds:schemaRefs>
    <ds:schemaRef ds:uri="http://schemas.microsoft.com/sharepoint/events"/>
  </ds:schemaRefs>
</ds:datastoreItem>
</file>

<file path=customXml/itemProps4.xml><?xml version="1.0" encoding="utf-8"?>
<ds:datastoreItem xmlns:ds="http://schemas.openxmlformats.org/officeDocument/2006/customXml" ds:itemID="{2EEBF264-136B-443C-AE94-E08590914DD7}">
  <ds:schemaRefs>
    <ds:schemaRef ds:uri="Microsoft.SharePoint.Taxonomy.ContentTypeSync"/>
  </ds:schemaRefs>
</ds:datastoreItem>
</file>

<file path=customXml/itemProps5.xml><?xml version="1.0" encoding="utf-8"?>
<ds:datastoreItem xmlns:ds="http://schemas.openxmlformats.org/officeDocument/2006/customXml" ds:itemID="{F70A62E2-99C4-4AA5-9214-F006140635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41</TotalTime>
  <Pages>5</Pages>
  <Words>1509</Words>
  <Characters>8603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10092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Amaanat Ali</cp:lastModifiedBy>
  <cp:revision>50</cp:revision>
  <dcterms:created xsi:type="dcterms:W3CDTF">2016-08-12T03:53:00Z</dcterms:created>
  <dcterms:modified xsi:type="dcterms:W3CDTF">2018-08-09T12:47:00Z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fe52d8eb-bd69-41af-bc18-13350823a12c</vt:lpwstr>
  </property>
</Properties>
</file>